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cs="仿宋"/>
          <w:b/>
          <w:kern w:val="28"/>
          <w:sz w:val="32"/>
        </w:rPr>
      </w:pPr>
      <w:bookmarkStart w:id="0" w:name="_GoBack"/>
      <w:bookmarkEnd w:id="0"/>
      <w:r>
        <w:rPr>
          <w:rFonts w:hint="eastAsia" w:ascii="仿宋" w:hAnsi="仿宋" w:eastAsia="仿宋" w:cs="仿宋"/>
          <w:b/>
          <w:kern w:val="28"/>
          <w:sz w:val="32"/>
        </w:rPr>
        <w:t>附件1： 资格审查条件</w:t>
      </w:r>
    </w:p>
    <w:p>
      <w:pPr>
        <w:adjustRightInd w:val="0"/>
        <w:spacing w:line="400" w:lineRule="exact"/>
        <w:jc w:val="center"/>
        <w:rPr>
          <w:rFonts w:ascii="仿宋" w:hAnsi="仿宋" w:eastAsia="仿宋" w:cs="仿宋"/>
          <w:b/>
          <w:kern w:val="28"/>
          <w:sz w:val="32"/>
          <w:szCs w:val="32"/>
        </w:rPr>
      </w:pPr>
    </w:p>
    <w:p>
      <w:pPr>
        <w:spacing w:line="360" w:lineRule="auto"/>
        <w:jc w:val="center"/>
        <w:rPr>
          <w:rStyle w:val="16"/>
          <w:rFonts w:ascii="仿宋" w:hAnsi="仿宋" w:eastAsia="仿宋" w:cs="仿宋"/>
          <w:b/>
          <w:sz w:val="32"/>
          <w:szCs w:val="32"/>
        </w:rPr>
      </w:pPr>
      <w:r>
        <w:rPr>
          <w:rStyle w:val="16"/>
          <w:rFonts w:hint="eastAsia" w:ascii="仿宋" w:hAnsi="仿宋" w:eastAsia="仿宋" w:cs="仿宋"/>
          <w:b/>
          <w:sz w:val="32"/>
          <w:szCs w:val="32"/>
        </w:rPr>
        <w:t>附录1  资格审查条件（资质最低条件）</w:t>
      </w:r>
    </w:p>
    <w:tbl>
      <w:tblPr>
        <w:tblStyle w:val="13"/>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8"/>
                <w:szCs w:val="28"/>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vAlign w:val="center"/>
          </w:tcPr>
          <w:p>
            <w:pPr>
              <w:spacing w:line="360" w:lineRule="auto"/>
              <w:ind w:firstLine="378" w:firstLineChars="135"/>
              <w:jc w:val="left"/>
              <w:rPr>
                <w:rFonts w:ascii="仿宋" w:hAnsi="仿宋" w:eastAsia="仿宋" w:cs="仿宋"/>
                <w:sz w:val="24"/>
                <w:szCs w:val="24"/>
              </w:rPr>
            </w:pPr>
            <w:r>
              <w:rPr>
                <w:rFonts w:hint="eastAsia" w:ascii="仿宋" w:hAnsi="仿宋" w:eastAsia="仿宋" w:cs="仿宋"/>
                <w:sz w:val="28"/>
                <w:szCs w:val="28"/>
              </w:rPr>
              <w:t>具备独立法人资格，具有有效企业营业执照或事业单位法人证书；具备交通运输部门颁发的道路运输经营许可证（含县际客运及以上范围）</w:t>
            </w:r>
          </w:p>
        </w:tc>
      </w:tr>
    </w:tbl>
    <w:p>
      <w:pPr>
        <w:jc w:val="center"/>
        <w:rPr>
          <w:rStyle w:val="17"/>
          <w:rFonts w:ascii="仿宋" w:hAnsi="仿宋" w:eastAsia="仿宋" w:cs="仿宋"/>
          <w:b/>
          <w:sz w:val="32"/>
          <w:szCs w:val="32"/>
        </w:rPr>
      </w:pPr>
    </w:p>
    <w:p>
      <w:pPr>
        <w:jc w:val="center"/>
        <w:rPr>
          <w:rStyle w:val="17"/>
          <w:rFonts w:ascii="仿宋" w:hAnsi="仿宋" w:eastAsia="仿宋" w:cs="仿宋"/>
          <w:b/>
          <w:sz w:val="21"/>
          <w:szCs w:val="21"/>
        </w:rPr>
      </w:pPr>
      <w:r>
        <w:rPr>
          <w:rStyle w:val="17"/>
          <w:rFonts w:hint="eastAsia" w:ascii="仿宋" w:hAnsi="仿宋" w:eastAsia="仿宋" w:cs="仿宋"/>
          <w:b/>
          <w:sz w:val="32"/>
          <w:szCs w:val="32"/>
        </w:rPr>
        <w:t>附录2  资格审查条件（</w:t>
      </w:r>
      <w:r>
        <w:rPr>
          <w:rFonts w:hint="eastAsia" w:ascii="仿宋" w:hAnsi="仿宋" w:eastAsia="仿宋" w:cs="仿宋"/>
          <w:b/>
          <w:sz w:val="32"/>
          <w:szCs w:val="28"/>
        </w:rPr>
        <w:t>业绩最低条件</w:t>
      </w:r>
      <w:r>
        <w:rPr>
          <w:rStyle w:val="17"/>
          <w:rFonts w:hint="eastAsia" w:ascii="仿宋" w:hAnsi="仿宋" w:eastAsia="仿宋" w:cs="仿宋"/>
          <w:b/>
          <w:sz w:val="32"/>
          <w:szCs w:val="32"/>
        </w:rPr>
        <w:t>）</w:t>
      </w:r>
    </w:p>
    <w:p>
      <w:pPr>
        <w:rPr>
          <w:rFonts w:ascii="仿宋" w:hAnsi="仿宋" w:eastAsia="仿宋" w:cs="仿宋"/>
          <w:b/>
          <w:szCs w:val="21"/>
        </w:rPr>
      </w:pPr>
    </w:p>
    <w:tbl>
      <w:tblPr>
        <w:tblStyle w:val="13"/>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vAlign w:val="center"/>
          </w:tcPr>
          <w:p>
            <w:pPr>
              <w:jc w:val="center"/>
              <w:rPr>
                <w:rFonts w:ascii="仿宋" w:hAnsi="仿宋" w:eastAsia="仿宋" w:cs="仿宋"/>
                <w:sz w:val="24"/>
                <w:szCs w:val="24"/>
              </w:rPr>
            </w:pPr>
            <w:r>
              <w:rPr>
                <w:rFonts w:hint="eastAsia" w:ascii="仿宋" w:hAnsi="仿宋" w:eastAsia="仿宋" w:cs="仿宋"/>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vAlign w:val="center"/>
          </w:tcPr>
          <w:p>
            <w:pPr>
              <w:widowControl/>
              <w:spacing w:line="360" w:lineRule="auto"/>
              <w:ind w:firstLine="280" w:firstLineChars="100"/>
              <w:jc w:val="left"/>
              <w:rPr>
                <w:rFonts w:ascii="仿宋" w:hAnsi="仿宋" w:eastAsia="仿宋" w:cs="仿宋"/>
                <w:sz w:val="24"/>
                <w:szCs w:val="24"/>
              </w:rPr>
            </w:pPr>
            <w:r>
              <w:rPr>
                <w:rFonts w:hint="eastAsia" w:ascii="仿宋" w:hAnsi="仿宋" w:eastAsia="仿宋" w:cs="仿宋"/>
                <w:sz w:val="28"/>
                <w:szCs w:val="28"/>
              </w:rPr>
              <w:t>近3年内（2019年12月1日至今，以合同签订时间为准）至少承担过一项客车租赁项目。</w:t>
            </w:r>
          </w:p>
        </w:tc>
      </w:tr>
    </w:tbl>
    <w:p>
      <w:pPr>
        <w:jc w:val="center"/>
        <w:rPr>
          <w:rFonts w:ascii="仿宋" w:hAnsi="仿宋" w:eastAsia="仿宋" w:cs="仿宋"/>
          <w:b/>
          <w:sz w:val="32"/>
          <w:szCs w:val="28"/>
        </w:rPr>
      </w:pPr>
    </w:p>
    <w:p>
      <w:pPr>
        <w:spacing w:line="360" w:lineRule="auto"/>
        <w:jc w:val="center"/>
        <w:rPr>
          <w:rFonts w:ascii="仿宋" w:hAnsi="仿宋" w:eastAsia="仿宋" w:cs="仿宋"/>
          <w:b/>
          <w:sz w:val="32"/>
          <w:szCs w:val="28"/>
        </w:rPr>
      </w:pPr>
    </w:p>
    <w:p>
      <w:pPr>
        <w:spacing w:line="360" w:lineRule="auto"/>
        <w:jc w:val="center"/>
        <w:rPr>
          <w:rFonts w:ascii="仿宋" w:hAnsi="仿宋" w:eastAsia="仿宋" w:cs="仿宋"/>
          <w:b/>
          <w:sz w:val="32"/>
          <w:szCs w:val="28"/>
        </w:rPr>
      </w:pPr>
      <w:r>
        <w:rPr>
          <w:rFonts w:hint="eastAsia" w:ascii="仿宋" w:hAnsi="仿宋" w:eastAsia="仿宋" w:cs="仿宋"/>
          <w:b/>
          <w:sz w:val="32"/>
          <w:szCs w:val="28"/>
        </w:rPr>
        <w:t>附录3  资格审查条件（信誉最低条件）</w:t>
      </w:r>
    </w:p>
    <w:tbl>
      <w:tblPr>
        <w:tblStyle w:val="13"/>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8"/>
                <w:szCs w:val="28"/>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vAlign w:val="center"/>
          </w:tcPr>
          <w:p>
            <w:pPr>
              <w:spacing w:line="360" w:lineRule="auto"/>
              <w:ind w:firstLine="560" w:firstLineChars="200"/>
              <w:jc w:val="left"/>
              <w:rPr>
                <w:rFonts w:ascii="仿宋" w:hAnsi="仿宋" w:eastAsia="仿宋" w:cs="仿宋"/>
                <w:sz w:val="24"/>
                <w:szCs w:val="24"/>
              </w:rPr>
            </w:pPr>
            <w:r>
              <w:rPr>
                <w:rFonts w:hint="eastAsia" w:ascii="仿宋" w:hAnsi="仿宋" w:eastAsia="仿宋" w:cs="仿宋"/>
                <w:sz w:val="28"/>
                <w:szCs w:val="32"/>
              </w:rPr>
              <w:t>投标人在近1年内(2021年12月1日至今)不曾在高速公路客车租赁合同执行中被驱逐或因投标人自身的原因而使高速公路客车租赁合同被解除。</w:t>
            </w:r>
          </w:p>
        </w:tc>
      </w:tr>
    </w:tbl>
    <w:p>
      <w:pPr>
        <w:tabs>
          <w:tab w:val="left" w:pos="3300"/>
        </w:tabs>
        <w:spacing w:line="360" w:lineRule="auto"/>
        <w:rPr>
          <w:rFonts w:ascii="仿宋" w:hAnsi="仿宋" w:eastAsia="仿宋" w:cs="仿宋"/>
          <w:b/>
          <w:sz w:val="32"/>
          <w:szCs w:val="28"/>
        </w:rPr>
      </w:pPr>
    </w:p>
    <w:p>
      <w:pPr>
        <w:spacing w:line="360" w:lineRule="auto"/>
        <w:rPr>
          <w:rFonts w:ascii="仿宋" w:hAnsi="仿宋" w:eastAsia="仿宋" w:cs="仿宋"/>
          <w:b/>
          <w:sz w:val="32"/>
          <w:szCs w:val="28"/>
        </w:rPr>
      </w:pPr>
    </w:p>
    <w:p>
      <w:pPr>
        <w:spacing w:line="400" w:lineRule="exact"/>
        <w:jc w:val="left"/>
        <w:rPr>
          <w:rFonts w:ascii="仿宋" w:hAnsi="仿宋" w:eastAsia="仿宋" w:cs="仿宋"/>
          <w:b/>
          <w:sz w:val="40"/>
          <w:szCs w:val="36"/>
        </w:rPr>
      </w:pPr>
      <w:r>
        <w:rPr>
          <w:rFonts w:hint="eastAsia" w:ascii="仿宋" w:hAnsi="仿宋" w:eastAsia="仿宋" w:cs="仿宋"/>
          <w:b/>
          <w:kern w:val="28"/>
          <w:sz w:val="24"/>
          <w:szCs w:val="24"/>
        </w:rPr>
        <w:br w:type="page"/>
      </w:r>
      <w:r>
        <w:rPr>
          <w:rFonts w:hint="eastAsia" w:ascii="仿宋" w:hAnsi="仿宋" w:eastAsia="仿宋" w:cs="仿宋"/>
          <w:b/>
          <w:sz w:val="32"/>
          <w:szCs w:val="28"/>
        </w:rPr>
        <w:t>评标办法前附表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条款号</w:t>
            </w:r>
          </w:p>
        </w:tc>
        <w:tc>
          <w:tcPr>
            <w:tcW w:w="7197"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1</w:t>
            </w:r>
          </w:p>
        </w:tc>
        <w:tc>
          <w:tcPr>
            <w:tcW w:w="1317" w:type="dxa"/>
            <w:vAlign w:val="center"/>
          </w:tcPr>
          <w:p>
            <w:pPr>
              <w:spacing w:line="400" w:lineRule="exact"/>
              <w:jc w:val="center"/>
              <w:rPr>
                <w:rFonts w:ascii="仿宋" w:hAnsi="仿宋" w:eastAsia="仿宋" w:cs="仿宋"/>
                <w:b/>
                <w:sz w:val="28"/>
                <w:szCs w:val="32"/>
              </w:rPr>
            </w:pPr>
            <w:r>
              <w:rPr>
                <w:rFonts w:hint="eastAsia" w:ascii="仿宋" w:hAnsi="仿宋" w:eastAsia="仿宋" w:cs="仿宋"/>
                <w:sz w:val="28"/>
                <w:szCs w:val="28"/>
              </w:rPr>
              <w:t>评标办法</w:t>
            </w:r>
          </w:p>
        </w:tc>
        <w:tc>
          <w:tcPr>
            <w:tcW w:w="7197" w:type="dxa"/>
            <w:vAlign w:val="center"/>
          </w:tcPr>
          <w:p>
            <w:pPr>
              <w:snapToGrid w:val="0"/>
              <w:spacing w:line="400" w:lineRule="exact"/>
              <w:jc w:val="left"/>
              <w:textAlignment w:val="baseline"/>
              <w:rPr>
                <w:rFonts w:ascii="仿宋" w:hAnsi="仿宋" w:eastAsia="仿宋" w:cs="仿宋"/>
                <w:sz w:val="28"/>
                <w:szCs w:val="32"/>
              </w:rPr>
            </w:pPr>
            <w:r>
              <w:rPr>
                <w:rFonts w:hint="eastAsia" w:ascii="仿宋" w:hAnsi="仿宋" w:eastAsia="仿宋" w:cs="仿宋"/>
                <w:sz w:val="28"/>
                <w:szCs w:val="32"/>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（1）评标价低的投标人优先；</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（2）技术得分较高的投标人优先；</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（3）投标人近3年内满足资格审查条件(业绩最低条件)要求的业绩累计金额高的优先。</w:t>
            </w:r>
          </w:p>
          <w:p>
            <w:pPr>
              <w:pStyle w:val="4"/>
              <w:spacing w:line="400" w:lineRule="exact"/>
              <w:rPr>
                <w:rFonts w:ascii="仿宋" w:hAnsi="仿宋" w:eastAsia="仿宋" w:cs="仿宋"/>
                <w:sz w:val="40"/>
                <w:szCs w:val="36"/>
              </w:rPr>
            </w:pPr>
            <w:r>
              <w:rPr>
                <w:rFonts w:hint="eastAsia" w:ascii="仿宋" w:hAnsi="仿宋" w:eastAsia="仿宋" w:cs="仿宋"/>
                <w:szCs w:val="28"/>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2.1.1</w:t>
            </w:r>
          </w:p>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2.1.3</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形式评审与响应性评审标准</w:t>
            </w:r>
          </w:p>
        </w:tc>
        <w:tc>
          <w:tcPr>
            <w:tcW w:w="7197" w:type="dxa"/>
          </w:tcPr>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第一个信封（商务及技术文件）评审标准:</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（1）投标文件按照招标文件规定的格式、内容填写，字迹清晰可辨：</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a.投标函按招标文件规定填报了项目名称、补遗书编号（如有）、服务期限信息；</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b.投标文件组成齐全完整，内容均按规定填写。</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（2）投标文件上法定代表人或其委托代理人的签字、投标人的单位章盖章齐全，符合招标文件规定。</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（3）投标人按照招标文件的规定提供了投标保证金：</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a.投标保证金金额符合招标文件规定的金额，且投标保证金有效期不少于投标有效期；</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b.若投标保证金采用电汇或转账形式提交，投标人应在递交投标文件截止时间之前，将投标保证金由投标人的基本账户转入招标人指定账户；</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c.若投标保证金采用银行保函形式提交，银行保函的格式、开具保函的银行均满足招标文件要求，且在递交投标文件截止时间之前向招标人提交了银行保函原件。</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 xml:space="preserve">（4）投标人法定代表人授权委托代理人签署投标文件的，须提交授权委托书，授权委托书的签字盖章符合招标文件规定，授权委托书只能授权给一名委托代理人。 </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（5）投标人法定代表人亲自签署投标文件的，提供了法定代表人身份证明，法定代表人身份证明的签字盖章符合招标文件规定。</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（6）投标人未以联合体形式投标。</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（7）投标人未对本项目提出分包计划。</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（8）同一投标人未提交两个以上不同的投标文件。</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（9）投标文件中未出现有关投标报价的内容。</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（10）投标文件载明的招标项目完成期限未超过招标文件规定的时限。</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（11）投标文件对招标文件的实质性要求和条件作出响应。</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（12）权利义务符合招标文件规定：</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a.投标人应接受招标文件规定的风险划分原则，未提出新的风险划分办法；</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b.投标人未增加发包人的责任范围，或减少投标人义务；</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c.投标人未提出不同的支付办法；</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d.投标人对合同纠纷、事故处理办法未提出异议；</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e.投标人在投标活动中无欺诈行为；</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f.投标人未对合同条款有重要保留。</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第二个信封（报价文件）评审标准：</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（1）投标文件按照招标文件规定的格式、内容填写，字迹清晰可辨：</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a.投标函按招标文件规定填报了项目名称、补遗书编号（如有）、投标价（包括大写金额和小写金额）；</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b．投标文件组成齐全完整，内容均按规定填写。</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（2）投标文件上法定代表人或其委托代理人的签字、投标人的单位章盖章齐全，符合招标文件规定。</w:t>
            </w:r>
          </w:p>
          <w:p>
            <w:pPr>
              <w:tabs>
                <w:tab w:val="left" w:pos="3060"/>
              </w:tabs>
              <w:snapToGrid w:val="0"/>
              <w:spacing w:line="400" w:lineRule="exact"/>
              <w:rPr>
                <w:rFonts w:ascii="仿宋" w:hAnsi="仿宋" w:eastAsia="仿宋" w:cs="仿宋"/>
                <w:sz w:val="28"/>
                <w:szCs w:val="32"/>
              </w:rPr>
            </w:pPr>
            <w:r>
              <w:rPr>
                <w:rFonts w:hint="eastAsia" w:ascii="仿宋" w:hAnsi="仿宋" w:eastAsia="仿宋" w:cs="仿宋"/>
                <w:sz w:val="28"/>
                <w:szCs w:val="32"/>
              </w:rPr>
              <w:t>（3）投标报价中的报价未超过招标文件设定的最高投标限价。</w:t>
            </w:r>
          </w:p>
          <w:p>
            <w:pPr>
              <w:tabs>
                <w:tab w:val="left" w:pos="3060"/>
              </w:tabs>
              <w:snapToGrid w:val="0"/>
              <w:spacing w:line="400" w:lineRule="exact"/>
              <w:rPr>
                <w:rFonts w:ascii="仿宋" w:hAnsi="仿宋" w:eastAsia="仿宋" w:cs="仿宋"/>
                <w:sz w:val="28"/>
                <w:szCs w:val="32"/>
              </w:rPr>
            </w:pPr>
            <w:r>
              <w:rPr>
                <w:rFonts w:hint="eastAsia" w:ascii="仿宋" w:hAnsi="仿宋" w:eastAsia="仿宋" w:cs="仿宋"/>
                <w:sz w:val="28"/>
                <w:szCs w:val="32"/>
              </w:rPr>
              <w:t>（4）投标报价中报价的大写金额能够确定具体数值。</w:t>
            </w:r>
          </w:p>
          <w:p>
            <w:pPr>
              <w:tabs>
                <w:tab w:val="left" w:pos="3060"/>
              </w:tabs>
              <w:snapToGrid w:val="0"/>
              <w:spacing w:line="400" w:lineRule="exact"/>
              <w:rPr>
                <w:rFonts w:ascii="仿宋" w:hAnsi="仿宋" w:eastAsia="仿宋" w:cs="仿宋"/>
                <w:sz w:val="28"/>
                <w:szCs w:val="32"/>
              </w:rPr>
            </w:pPr>
            <w:r>
              <w:rPr>
                <w:rFonts w:hint="eastAsia" w:ascii="仿宋" w:hAnsi="仿宋" w:eastAsia="仿宋" w:cs="仿宋"/>
                <w:sz w:val="28"/>
                <w:szCs w:val="32"/>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2.1.2</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资格评审标准</w:t>
            </w:r>
          </w:p>
        </w:tc>
        <w:tc>
          <w:tcPr>
            <w:tcW w:w="7197" w:type="dxa"/>
          </w:tcPr>
          <w:p>
            <w:pPr>
              <w:tabs>
                <w:tab w:val="left" w:pos="3060"/>
              </w:tabs>
              <w:spacing w:line="400" w:lineRule="exact"/>
              <w:rPr>
                <w:rFonts w:ascii="仿宋" w:hAnsi="仿宋" w:eastAsia="仿宋" w:cs="仿宋"/>
                <w:sz w:val="28"/>
                <w:szCs w:val="28"/>
              </w:rPr>
            </w:pPr>
            <w:r>
              <w:rPr>
                <w:rFonts w:hint="eastAsia" w:ascii="仿宋" w:hAnsi="仿宋" w:eastAsia="仿宋" w:cs="仿宋"/>
                <w:sz w:val="28"/>
                <w:szCs w:val="28"/>
              </w:rPr>
              <w:t>（1）投标人具备有效的营业执照或事业单位法人证书、组织机构代码证（三证合一或五证合一的除外）、道路运输经营许可证和基本账户开户许可证（或基本存款账户信息）；</w:t>
            </w:r>
          </w:p>
          <w:p>
            <w:pPr>
              <w:pStyle w:val="4"/>
              <w:spacing w:line="400" w:lineRule="exact"/>
              <w:rPr>
                <w:rFonts w:ascii="仿宋" w:hAnsi="仿宋" w:eastAsia="仿宋" w:cs="仿宋"/>
                <w:szCs w:val="28"/>
              </w:rPr>
            </w:pPr>
            <w:r>
              <w:rPr>
                <w:rFonts w:hint="eastAsia" w:ascii="仿宋" w:hAnsi="仿宋" w:eastAsia="仿宋" w:cs="仿宋"/>
                <w:szCs w:val="28"/>
              </w:rPr>
              <w:t>（2）投标人的类似项目业绩符合招标文件规定；</w:t>
            </w:r>
          </w:p>
          <w:p>
            <w:pPr>
              <w:tabs>
                <w:tab w:val="left" w:pos="3060"/>
              </w:tabs>
              <w:spacing w:line="400" w:lineRule="exact"/>
              <w:rPr>
                <w:rFonts w:ascii="仿宋" w:hAnsi="仿宋" w:eastAsia="仿宋" w:cs="仿宋"/>
                <w:sz w:val="28"/>
                <w:szCs w:val="28"/>
              </w:rPr>
            </w:pPr>
            <w:r>
              <w:rPr>
                <w:rFonts w:hint="eastAsia" w:ascii="仿宋" w:hAnsi="仿宋" w:eastAsia="仿宋" w:cs="仿宋"/>
                <w:sz w:val="28"/>
                <w:szCs w:val="28"/>
              </w:rPr>
              <w:t>（3）投标人的信誉符合招标文件规定；</w:t>
            </w:r>
          </w:p>
          <w:p>
            <w:pPr>
              <w:tabs>
                <w:tab w:val="left" w:pos="3060"/>
              </w:tabs>
              <w:spacing w:line="400" w:lineRule="exact"/>
              <w:rPr>
                <w:rFonts w:ascii="仿宋" w:hAnsi="仿宋" w:eastAsia="仿宋" w:cs="仿宋"/>
                <w:sz w:val="28"/>
                <w:szCs w:val="28"/>
              </w:rPr>
            </w:pPr>
            <w:r>
              <w:rPr>
                <w:rFonts w:hint="eastAsia" w:ascii="仿宋" w:hAnsi="仿宋" w:eastAsia="仿宋" w:cs="仿宋"/>
                <w:sz w:val="28"/>
                <w:szCs w:val="28"/>
              </w:rPr>
              <w:t>（4）投标人不存在第二章“投标人须知”第1.4.3项和1.4.4项规定的任何一种情形。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条款号</w:t>
            </w:r>
          </w:p>
        </w:tc>
        <w:tc>
          <w:tcPr>
            <w:tcW w:w="1317"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条款内容</w:t>
            </w:r>
          </w:p>
        </w:tc>
        <w:tc>
          <w:tcPr>
            <w:tcW w:w="7197"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spacing w:line="400" w:lineRule="exact"/>
              <w:jc w:val="center"/>
              <w:rPr>
                <w:rFonts w:ascii="仿宋" w:hAnsi="仿宋" w:eastAsia="仿宋" w:cs="仿宋"/>
                <w:sz w:val="28"/>
                <w:szCs w:val="32"/>
              </w:rPr>
            </w:pPr>
            <w:r>
              <w:rPr>
                <w:rFonts w:hint="eastAsia" w:ascii="仿宋" w:hAnsi="仿宋" w:eastAsia="仿宋" w:cs="仿宋"/>
                <w:sz w:val="28"/>
                <w:szCs w:val="32"/>
              </w:rPr>
              <w:t>2.2.1</w:t>
            </w:r>
          </w:p>
        </w:tc>
        <w:tc>
          <w:tcPr>
            <w:tcW w:w="1317" w:type="dxa"/>
            <w:vAlign w:val="center"/>
          </w:tcPr>
          <w:p>
            <w:pPr>
              <w:adjustRightInd w:val="0"/>
              <w:snapToGrid w:val="0"/>
              <w:spacing w:line="400" w:lineRule="exact"/>
              <w:jc w:val="center"/>
              <w:rPr>
                <w:rFonts w:ascii="仿宋" w:hAnsi="仿宋" w:eastAsia="仿宋" w:cs="仿宋"/>
                <w:sz w:val="28"/>
                <w:szCs w:val="32"/>
              </w:rPr>
            </w:pPr>
            <w:r>
              <w:rPr>
                <w:rFonts w:hint="eastAsia" w:ascii="仿宋" w:hAnsi="仿宋" w:eastAsia="仿宋" w:cs="仿宋"/>
                <w:sz w:val="28"/>
                <w:szCs w:val="32"/>
              </w:rPr>
              <w:t>分值构成（总分100分）</w:t>
            </w:r>
          </w:p>
        </w:tc>
        <w:tc>
          <w:tcPr>
            <w:tcW w:w="7197" w:type="dxa"/>
            <w:vAlign w:val="center"/>
          </w:tcPr>
          <w:p>
            <w:pPr>
              <w:adjustRightInd w:val="0"/>
              <w:snapToGrid w:val="0"/>
              <w:spacing w:line="400" w:lineRule="exact"/>
              <w:rPr>
                <w:rFonts w:ascii="仿宋" w:hAnsi="仿宋" w:eastAsia="仿宋" w:cs="仿宋"/>
                <w:b/>
                <w:sz w:val="28"/>
                <w:szCs w:val="32"/>
              </w:rPr>
            </w:pPr>
            <w:r>
              <w:rPr>
                <w:rFonts w:hint="eastAsia" w:ascii="仿宋" w:hAnsi="仿宋" w:eastAsia="仿宋" w:cs="仿宋"/>
                <w:b/>
                <w:sz w:val="28"/>
                <w:szCs w:val="32"/>
              </w:rPr>
              <w:t>第一个信封（商务及技术文件）评分分值构成：</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同类业绩：       20分</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服务方案：       70分</w:t>
            </w:r>
          </w:p>
          <w:p>
            <w:pPr>
              <w:adjustRightInd w:val="0"/>
              <w:snapToGrid w:val="0"/>
              <w:spacing w:line="400" w:lineRule="exact"/>
              <w:rPr>
                <w:rFonts w:ascii="仿宋" w:hAnsi="仿宋" w:eastAsia="仿宋" w:cs="仿宋"/>
                <w:b/>
                <w:sz w:val="28"/>
                <w:szCs w:val="32"/>
              </w:rPr>
            </w:pPr>
            <w:r>
              <w:rPr>
                <w:rFonts w:hint="eastAsia" w:ascii="仿宋" w:hAnsi="仿宋" w:eastAsia="仿宋" w:cs="仿宋"/>
                <w:b/>
                <w:sz w:val="28"/>
                <w:szCs w:val="32"/>
              </w:rPr>
              <w:t>第二个信封（报价文件）评分分值构成：</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2.2.2</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评标基准价计算方法</w:t>
            </w:r>
          </w:p>
        </w:tc>
        <w:tc>
          <w:tcPr>
            <w:tcW w:w="7197" w:type="dxa"/>
            <w:vAlign w:val="center"/>
          </w:tcPr>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评标基准价的计算：</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 xml:space="preserve">  开标现场，招标人将当场计算并宣布评标基准价。</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1、评标价的确定：</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评标价=投标函文字报价</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2、评标价平均值的计算：</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 xml:space="preserve">3、评标基准价的确定： </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 xml:space="preserve">评标价平均值直接作为评标基准价。 </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评标基准价保留小数点后两位，小数点后第三位四舍五入。</w:t>
            </w:r>
          </w:p>
          <w:p>
            <w:pPr>
              <w:adjustRightInd w:val="0"/>
              <w:snapToGrid w:val="0"/>
              <w:spacing w:line="400" w:lineRule="exact"/>
              <w:rPr>
                <w:rFonts w:ascii="仿宋" w:hAnsi="仿宋" w:eastAsia="仿宋" w:cs="仿宋"/>
                <w:sz w:val="28"/>
                <w:szCs w:val="28"/>
              </w:rPr>
            </w:pPr>
            <w:r>
              <w:rPr>
                <w:rFonts w:hint="eastAsia" w:ascii="仿宋" w:hAnsi="仿宋" w:eastAsia="仿宋" w:cs="仿宋"/>
                <w:sz w:val="28"/>
                <w:szCs w:val="32"/>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2.2.3</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评标价的偏差率计算公式</w:t>
            </w:r>
          </w:p>
        </w:tc>
        <w:tc>
          <w:tcPr>
            <w:tcW w:w="7197" w:type="dxa"/>
            <w:vAlign w:val="center"/>
          </w:tcPr>
          <w:p>
            <w:pPr>
              <w:adjustRightInd w:val="0"/>
              <w:snapToGrid w:val="0"/>
              <w:spacing w:line="400" w:lineRule="exact"/>
              <w:rPr>
                <w:rFonts w:ascii="仿宋" w:hAnsi="仿宋" w:eastAsia="仿宋" w:cs="仿宋"/>
                <w:sz w:val="28"/>
                <w:szCs w:val="28"/>
              </w:rPr>
            </w:pPr>
            <w:r>
              <w:rPr>
                <w:rFonts w:hint="eastAsia" w:ascii="仿宋" w:hAnsi="仿宋" w:eastAsia="仿宋" w:cs="仿宋"/>
                <w:sz w:val="28"/>
                <w:szCs w:val="32"/>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3.6.1</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信息查询</w:t>
            </w:r>
          </w:p>
        </w:tc>
        <w:tc>
          <w:tcPr>
            <w:tcW w:w="7197" w:type="dxa"/>
            <w:vAlign w:val="center"/>
          </w:tcPr>
          <w:p>
            <w:pPr>
              <w:adjustRightInd w:val="0"/>
              <w:snapToGrid w:val="0"/>
              <w:spacing w:line="400" w:lineRule="exact"/>
              <w:rPr>
                <w:rFonts w:ascii="仿宋" w:hAnsi="仿宋" w:eastAsia="仿宋" w:cs="仿宋"/>
                <w:sz w:val="28"/>
                <w:szCs w:val="28"/>
              </w:rPr>
            </w:pPr>
            <w:r>
              <w:rPr>
                <w:rFonts w:hint="eastAsia" w:ascii="仿宋" w:hAnsi="仿宋" w:eastAsia="仿宋" w:cs="仿宋"/>
                <w:sz w:val="28"/>
                <w:szCs w:val="28"/>
              </w:rPr>
              <w:t>在评标过程中，评标委员会应对以下信息进行查询：</w:t>
            </w:r>
          </w:p>
          <w:p>
            <w:pPr>
              <w:snapToGrid w:val="0"/>
              <w:spacing w:line="400" w:lineRule="exact"/>
              <w:rPr>
                <w:rFonts w:ascii="仿宋" w:hAnsi="仿宋" w:eastAsia="仿宋" w:cs="仿宋"/>
                <w:sz w:val="28"/>
                <w:szCs w:val="28"/>
              </w:rPr>
            </w:pPr>
            <w:r>
              <w:rPr>
                <w:rFonts w:hint="eastAsia" w:ascii="仿宋" w:hAnsi="仿宋" w:eastAsia="仿宋" w:cs="仿宋"/>
                <w:sz w:val="28"/>
                <w:szCs w:val="28"/>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400" w:lineRule="exact"/>
              <w:rPr>
                <w:rFonts w:ascii="仿宋" w:hAnsi="仿宋" w:eastAsia="仿宋" w:cs="仿宋"/>
                <w:sz w:val="28"/>
                <w:szCs w:val="32"/>
              </w:rPr>
            </w:pPr>
            <w:r>
              <w:rPr>
                <w:rFonts w:hint="eastAsia" w:ascii="仿宋" w:hAnsi="仿宋" w:eastAsia="仿宋" w:cs="仿宋"/>
                <w:sz w:val="28"/>
                <w:szCs w:val="28"/>
              </w:rPr>
              <w:t>若投标人未提供相关网页截图或所附截图与核查结果不一致使得投标人的资格条件不符合招标文件规定的，评标委员会应否决其投标。</w:t>
            </w:r>
          </w:p>
        </w:tc>
      </w:tr>
    </w:tbl>
    <w:p>
      <w:pPr>
        <w:snapToGrid w:val="0"/>
        <w:spacing w:line="400" w:lineRule="exact"/>
        <w:jc w:val="left"/>
        <w:rPr>
          <w:rFonts w:ascii="仿宋" w:hAnsi="仿宋" w:eastAsia="仿宋" w:cs="仿宋"/>
          <w:sz w:val="32"/>
          <w:szCs w:val="36"/>
        </w:rPr>
      </w:pPr>
    </w:p>
    <w:p>
      <w:pPr>
        <w:snapToGrid w:val="0"/>
        <w:spacing w:line="360" w:lineRule="auto"/>
        <w:jc w:val="left"/>
        <w:rPr>
          <w:rFonts w:ascii="仿宋" w:hAnsi="仿宋" w:eastAsia="仿宋" w:cs="仿宋"/>
        </w:rPr>
      </w:pPr>
      <w:r>
        <w:rPr>
          <w:rFonts w:hint="eastAsia" w:ascii="仿宋" w:hAnsi="仿宋" w:eastAsia="仿宋" w:cs="仿宋"/>
        </w:rPr>
        <w:br w:type="page"/>
      </w:r>
    </w:p>
    <w:tbl>
      <w:tblPr>
        <w:tblStyle w:val="13"/>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154"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评审项目</w:t>
            </w:r>
          </w:p>
        </w:tc>
        <w:tc>
          <w:tcPr>
            <w:tcW w:w="8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标准分</w:t>
            </w:r>
          </w:p>
        </w:tc>
        <w:tc>
          <w:tcPr>
            <w:tcW w:w="5978"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     分     标     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Align w:val="center"/>
          </w:tcPr>
          <w:p>
            <w:pPr>
              <w:snapToGrid w:val="0"/>
              <w:spacing w:line="400" w:lineRule="exact"/>
              <w:jc w:val="center"/>
              <w:rPr>
                <w:rFonts w:ascii="仿宋" w:hAnsi="仿宋" w:eastAsia="仿宋" w:cs="仿宋"/>
                <w:bCs/>
                <w:w w:val="90"/>
                <w:sz w:val="28"/>
                <w:szCs w:val="28"/>
              </w:rPr>
            </w:pPr>
            <w:r>
              <w:rPr>
                <w:rFonts w:hint="eastAsia" w:ascii="仿宋" w:hAnsi="仿宋" w:eastAsia="仿宋" w:cs="仿宋"/>
                <w:bCs/>
                <w:w w:val="90"/>
                <w:sz w:val="28"/>
                <w:szCs w:val="28"/>
              </w:rPr>
              <w:t>1</w:t>
            </w:r>
          </w:p>
        </w:tc>
        <w:tc>
          <w:tcPr>
            <w:tcW w:w="2154" w:type="dxa"/>
            <w:gridSpan w:val="2"/>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同类业绩</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20分</w:t>
            </w:r>
          </w:p>
        </w:tc>
        <w:tc>
          <w:tcPr>
            <w:tcW w:w="5978" w:type="dxa"/>
            <w:vAlign w:val="center"/>
          </w:tcPr>
          <w:p>
            <w:pPr>
              <w:snapToGrid w:val="0"/>
              <w:spacing w:line="400" w:lineRule="exact"/>
              <w:rPr>
                <w:rFonts w:ascii="仿宋" w:hAnsi="仿宋" w:eastAsia="仿宋" w:cs="仿宋"/>
                <w:sz w:val="28"/>
                <w:szCs w:val="28"/>
              </w:rPr>
            </w:pPr>
            <w:r>
              <w:rPr>
                <w:rFonts w:hint="eastAsia" w:ascii="仿宋" w:hAnsi="仿宋" w:eastAsia="仿宋" w:cs="仿宋"/>
                <w:sz w:val="28"/>
                <w:szCs w:val="28"/>
              </w:rPr>
              <w:t>满足资格审查条件(业绩最低要求)得12分；</w:t>
            </w:r>
          </w:p>
          <w:p>
            <w:pPr>
              <w:snapToGrid w:val="0"/>
              <w:spacing w:line="400" w:lineRule="exact"/>
              <w:rPr>
                <w:rFonts w:ascii="仿宋" w:hAnsi="仿宋" w:eastAsia="仿宋" w:cs="仿宋"/>
                <w:bCs/>
                <w:sz w:val="28"/>
                <w:szCs w:val="28"/>
              </w:rPr>
            </w:pPr>
            <w:r>
              <w:rPr>
                <w:rFonts w:hint="eastAsia" w:ascii="仿宋" w:hAnsi="仿宋" w:eastAsia="仿宋" w:cs="仿宋"/>
                <w:sz w:val="28"/>
                <w:szCs w:val="28"/>
              </w:rPr>
              <w:t>近3年内（2019年12月1日至今，以合同签订时间为准）</w:t>
            </w:r>
            <w:r>
              <w:rPr>
                <w:rFonts w:hint="eastAsia" w:ascii="仿宋" w:hAnsi="仿宋" w:eastAsia="仿宋" w:cs="仿宋"/>
                <w:bCs/>
                <w:sz w:val="28"/>
                <w:szCs w:val="28"/>
              </w:rPr>
              <w:t>每增加一项客车租赁项目业绩加4分，最高加8分。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restart"/>
            <w:tcBorders>
              <w:right w:val="single" w:color="auto" w:sz="2" w:space="0"/>
            </w:tcBorders>
            <w:vAlign w:val="center"/>
          </w:tcPr>
          <w:p>
            <w:pPr>
              <w:snapToGrid w:val="0"/>
              <w:spacing w:line="400" w:lineRule="exact"/>
              <w:jc w:val="center"/>
              <w:rPr>
                <w:rFonts w:ascii="仿宋" w:hAnsi="仿宋" w:eastAsia="仿宋" w:cs="仿宋"/>
                <w:bCs/>
                <w:w w:val="90"/>
                <w:sz w:val="28"/>
                <w:szCs w:val="28"/>
              </w:rPr>
            </w:pPr>
            <w:r>
              <w:rPr>
                <w:rFonts w:hint="eastAsia" w:ascii="仿宋" w:hAnsi="仿宋" w:eastAsia="仿宋" w:cs="仿宋"/>
                <w:bCs/>
                <w:w w:val="90"/>
                <w:sz w:val="28"/>
                <w:szCs w:val="28"/>
              </w:rPr>
              <w:t>2</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line="400" w:lineRule="exact"/>
              <w:jc w:val="center"/>
              <w:rPr>
                <w:rFonts w:ascii="仿宋" w:hAnsi="仿宋" w:eastAsia="仿宋" w:cs="仿宋"/>
                <w:bCs/>
                <w:sz w:val="28"/>
                <w:szCs w:val="28"/>
              </w:rPr>
            </w:pPr>
            <w:r>
              <w:rPr>
                <w:rFonts w:hint="eastAsia" w:ascii="仿宋" w:hAnsi="仿宋" w:eastAsia="仿宋" w:cs="仿宋"/>
                <w:bCs/>
                <w:sz w:val="28"/>
                <w:szCs w:val="28"/>
              </w:rPr>
              <w:t>服务方案</w:t>
            </w:r>
          </w:p>
          <w:p>
            <w:pPr>
              <w:snapToGrid w:val="0"/>
              <w:spacing w:before="156" w:beforeLines="50" w:after="156" w:afterLines="50" w:line="400" w:lineRule="exact"/>
              <w:jc w:val="center"/>
              <w:rPr>
                <w:rFonts w:ascii="仿宋" w:hAnsi="仿宋" w:eastAsia="仿宋" w:cs="仿宋"/>
                <w:bCs/>
                <w:sz w:val="28"/>
                <w:szCs w:val="28"/>
              </w:rPr>
            </w:pPr>
            <w:r>
              <w:rPr>
                <w:rFonts w:hint="eastAsia" w:ascii="仿宋" w:hAnsi="仿宋" w:eastAsia="仿宋" w:cs="仿宋"/>
                <w:bCs/>
                <w:sz w:val="28"/>
                <w:szCs w:val="28"/>
              </w:rPr>
              <w:t>（70分）</w:t>
            </w:r>
          </w:p>
        </w:tc>
        <w:tc>
          <w:tcPr>
            <w:tcW w:w="1124" w:type="dxa"/>
            <w:tcBorders>
              <w:left w:val="single" w:color="auto" w:sz="2" w:space="0"/>
            </w:tcBorders>
            <w:vAlign w:val="center"/>
          </w:tcPr>
          <w:p>
            <w:pPr>
              <w:snapToGrid w:val="0"/>
              <w:spacing w:before="156" w:beforeLines="50" w:after="156" w:afterLines="50" w:line="400" w:lineRule="exact"/>
              <w:jc w:val="center"/>
              <w:rPr>
                <w:rFonts w:ascii="仿宋" w:hAnsi="仿宋" w:eastAsia="仿宋" w:cs="仿宋"/>
                <w:bCs/>
                <w:sz w:val="28"/>
                <w:szCs w:val="28"/>
              </w:rPr>
            </w:pPr>
            <w:r>
              <w:rPr>
                <w:rFonts w:hint="eastAsia" w:ascii="仿宋" w:hAnsi="仿宋" w:eastAsia="仿宋" w:cs="仿宋"/>
                <w:bCs/>
                <w:sz w:val="28"/>
                <w:szCs w:val="28"/>
              </w:rPr>
              <w:t>组织机构及车辆配备</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20分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根据投标人项目实施团队的组织机构和车辆配备优劣进行比较打分：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 xml:space="preserve">第一档，组织管理机构完善、合理，车况良好、车辆功能配置先进，车辆购置年限近符合项目特点的，得18.01-20分； </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 xml:space="preserve">第二档，组织管理机构健全、合理，车况良好、车辆功能配置较先进，车辆购置年限较近，符合项目需求的，得15.01-18分； </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第三档，组织管理机构和车辆配备基本合理，专业性和相关经验有欠缺或低于其他档次投标人，车况一般、车辆功能配置较差，车辆购置年限较长，得12-15分。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实施计划及服务方案</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20分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第一档，实施计划科学合理，总体方案完整、内容齐全，有针对性，得18.01-20分；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第二档，实施计划较科学合理，总体方案较完整，得15.01-18分；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第三档，实施计划欠合理，总体方案过于简单，得12-15分。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日常管理标准及措施</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第一档，科学合理，内容详细，得9.01-10分；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第二档，较科学合理，内容较详细，得7.51-9分；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第三档，欠合理，内容过于简单，得6-7.5分。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内部规章制度及人员考核培训方案</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第一档，科学合理、完善可行、有针对性，得9.01-10分；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第二档，较科学、较完善可行、较有针对性，得7.51-9分；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第三档，保证措施一般，得6-7.5分。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服务承诺</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第一档，对服务质量、运营安全、运营时限、人员保证、车辆性能等方面服务承诺系统全面、科学合理，得9.01-10分；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第二档，服务承诺较完整、较科学，得7.51-9分；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第三档，服务承诺不完整或不尽合理，得6-7.5分。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tcBorders>
              <w:right w:val="single" w:color="auto" w:sz="2" w:space="0"/>
            </w:tcBorders>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2154" w:type="dxa"/>
            <w:gridSpan w:val="2"/>
            <w:tcBorders>
              <w:left w:val="single" w:color="auto" w:sz="2" w:space="0"/>
            </w:tcBorders>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评标价</w:t>
            </w:r>
          </w:p>
        </w:tc>
        <w:tc>
          <w:tcPr>
            <w:tcW w:w="84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评标价得分计算公式示例：</w:t>
            </w:r>
          </w:p>
          <w:p>
            <w:pPr>
              <w:spacing w:line="400" w:lineRule="exact"/>
              <w:ind w:firstLine="324" w:firstLineChars="116"/>
              <w:rPr>
                <w:rFonts w:ascii="仿宋" w:hAnsi="仿宋" w:eastAsia="仿宋" w:cs="仿宋"/>
                <w:sz w:val="28"/>
                <w:szCs w:val="28"/>
              </w:rPr>
            </w:pPr>
            <w:r>
              <w:rPr>
                <w:rFonts w:hint="eastAsia" w:ascii="仿宋" w:hAnsi="仿宋" w:eastAsia="仿宋" w:cs="仿宋"/>
                <w:sz w:val="28"/>
                <w:szCs w:val="28"/>
              </w:rPr>
              <w:t>（1）如果投标人的评标价＞评标基准价，则评标价得分=F-（投标人评标价-评标基准价）/评标基准价×100×E1；</w:t>
            </w:r>
          </w:p>
          <w:p>
            <w:pPr>
              <w:spacing w:line="400" w:lineRule="exact"/>
              <w:ind w:firstLine="324" w:firstLineChars="116"/>
              <w:rPr>
                <w:rFonts w:ascii="仿宋" w:hAnsi="仿宋" w:eastAsia="仿宋" w:cs="仿宋"/>
                <w:sz w:val="28"/>
                <w:szCs w:val="28"/>
              </w:rPr>
            </w:pPr>
            <w:r>
              <w:rPr>
                <w:rFonts w:hint="eastAsia" w:ascii="仿宋" w:hAnsi="仿宋" w:eastAsia="仿宋" w:cs="仿宋"/>
                <w:sz w:val="28"/>
                <w:szCs w:val="28"/>
              </w:rPr>
              <w:t>（2）如果投标人的评标价≤评标基准价，则评标价得分=F+(投标人评标价-评标基准价)/评标基准价×100×E2。</w:t>
            </w:r>
          </w:p>
          <w:p>
            <w:pPr>
              <w:spacing w:line="400" w:lineRule="exact"/>
              <w:ind w:firstLine="324" w:firstLineChars="116"/>
              <w:rPr>
                <w:rFonts w:ascii="仿宋" w:hAnsi="仿宋" w:eastAsia="仿宋" w:cs="仿宋"/>
                <w:bCs/>
                <w:sz w:val="28"/>
                <w:szCs w:val="28"/>
              </w:rPr>
            </w:pPr>
            <w:r>
              <w:rPr>
                <w:rFonts w:hint="eastAsia" w:ascii="仿宋" w:hAnsi="仿宋" w:eastAsia="仿宋" w:cs="仿宋"/>
                <w:sz w:val="28"/>
                <w:szCs w:val="28"/>
              </w:rPr>
              <w:t>其中，F=10；E1=0.</w:t>
            </w:r>
            <w:r>
              <w:rPr>
                <w:rFonts w:ascii="仿宋" w:hAnsi="仿宋" w:eastAsia="仿宋" w:cs="仿宋"/>
                <w:sz w:val="28"/>
                <w:szCs w:val="28"/>
              </w:rPr>
              <w:t>2</w:t>
            </w:r>
            <w:r>
              <w:rPr>
                <w:rFonts w:hint="eastAsia" w:ascii="仿宋" w:hAnsi="仿宋" w:eastAsia="仿宋" w:cs="仿宋"/>
                <w:sz w:val="28"/>
                <w:szCs w:val="28"/>
              </w:rPr>
              <w:t>；E2=0.</w:t>
            </w:r>
            <w:r>
              <w:rPr>
                <w:rFonts w:ascii="仿宋" w:hAnsi="仿宋" w:eastAsia="仿宋" w:cs="仿宋"/>
                <w:sz w:val="28"/>
                <w:szCs w:val="28"/>
              </w:rPr>
              <w:t>1</w:t>
            </w:r>
            <w:r>
              <w:rPr>
                <w:rFonts w:hint="eastAsia" w:ascii="仿宋" w:hAnsi="仿宋" w:eastAsia="仿宋" w:cs="仿宋"/>
                <w:sz w:val="28"/>
                <w:szCs w:val="28"/>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2889"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合计</w:t>
            </w:r>
          </w:p>
        </w:tc>
        <w:tc>
          <w:tcPr>
            <w:tcW w:w="84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100分</w:t>
            </w:r>
          </w:p>
        </w:tc>
        <w:tc>
          <w:tcPr>
            <w:tcW w:w="5978" w:type="dxa"/>
            <w:vAlign w:val="center"/>
          </w:tcPr>
          <w:p>
            <w:pPr>
              <w:spacing w:line="400" w:lineRule="exact"/>
              <w:jc w:val="center"/>
              <w:rPr>
                <w:rFonts w:ascii="仿宋" w:hAnsi="仿宋" w:eastAsia="仿宋" w:cs="仿宋"/>
                <w:bCs/>
                <w:sz w:val="28"/>
                <w:szCs w:val="28"/>
              </w:rPr>
            </w:pPr>
          </w:p>
        </w:tc>
      </w:tr>
    </w:tbl>
    <w:p>
      <w:pPr>
        <w:widowControl/>
        <w:snapToGrid w:val="0"/>
        <w:spacing w:line="300" w:lineRule="auto"/>
        <w:jc w:val="left"/>
        <w:rPr>
          <w:rFonts w:ascii="仿宋" w:hAnsi="仿宋" w:eastAsia="仿宋" w:cs="仿宋"/>
          <w:sz w:val="28"/>
          <w:szCs w:val="32"/>
        </w:rPr>
      </w:pPr>
      <w:r>
        <w:rPr>
          <w:rFonts w:hint="eastAsia" w:ascii="仿宋" w:hAnsi="仿宋" w:eastAsia="仿宋" w:cs="仿宋"/>
          <w:color w:val="000000"/>
          <w:kern w:val="0"/>
          <w:sz w:val="28"/>
          <w:szCs w:val="28"/>
          <w:lang w:bidi="ar"/>
        </w:rPr>
        <w:t>注：1、各评分因素得分应以评标委员会各成员的打分平均值确定，保留两位小数，第三位四舍五入。</w:t>
      </w:r>
    </w:p>
    <w:p>
      <w:pPr>
        <w:snapToGrid w:val="0"/>
        <w:spacing w:line="360" w:lineRule="auto"/>
        <w:jc w:val="left"/>
        <w:rPr>
          <w:rFonts w:ascii="仿宋" w:hAnsi="仿宋" w:eastAsia="仿宋" w:cs="仿宋"/>
        </w:rPr>
      </w:pPr>
      <w:r>
        <w:rPr>
          <w:rFonts w:hint="eastAsia" w:ascii="仿宋" w:hAnsi="仿宋" w:eastAsia="仿宋" w:cs="仿宋"/>
          <w:color w:val="000000"/>
          <w:kern w:val="0"/>
          <w:sz w:val="28"/>
          <w:szCs w:val="28"/>
          <w:lang w:bidi="ar"/>
        </w:rPr>
        <w:t>2、</w:t>
      </w:r>
      <w:r>
        <w:rPr>
          <w:rFonts w:hint="eastAsia" w:ascii="仿宋" w:hAnsi="仿宋" w:eastAsia="仿宋" w:cs="仿宋"/>
          <w:kern w:val="0"/>
          <w:sz w:val="28"/>
          <w:szCs w:val="28"/>
        </w:rPr>
        <w:t>服务方案</w:t>
      </w:r>
      <w:r>
        <w:rPr>
          <w:rFonts w:hint="eastAsia" w:ascii="仿宋" w:hAnsi="仿宋" w:eastAsia="仿宋" w:cs="仿宋"/>
          <w:color w:val="000000"/>
          <w:kern w:val="0"/>
          <w:sz w:val="28"/>
          <w:szCs w:val="28"/>
          <w:lang w:bidi="ar"/>
        </w:rPr>
        <w:t>评分因素细分项存在缺项的，则该项计0分</w:t>
      </w:r>
      <w:r>
        <w:rPr>
          <w:rFonts w:hint="eastAsia" w:ascii="仿宋" w:hAnsi="仿宋" w:eastAsia="仿宋" w:cs="仿宋"/>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579249D9"/>
    <w:rsid w:val="00C840C8"/>
    <w:rsid w:val="00D479A0"/>
    <w:rsid w:val="00E92975"/>
    <w:rsid w:val="00F9576F"/>
    <w:rsid w:val="0EA1004B"/>
    <w:rsid w:val="5792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0"/>
    </w:rPr>
  </w:style>
  <w:style w:type="paragraph" w:styleId="3">
    <w:name w:val="Plain Text"/>
    <w:basedOn w:val="1"/>
    <w:next w:val="1"/>
    <w:qFormat/>
    <w:uiPriority w:val="99"/>
    <w:rPr>
      <w:rFonts w:ascii="宋体" w:hAnsi="Courier New"/>
      <w:kern w:val="0"/>
      <w:sz w:val="20"/>
      <w:szCs w:val="20"/>
    </w:rPr>
  </w:style>
  <w:style w:type="paragraph" w:styleId="4">
    <w:name w:val="Body Text"/>
    <w:basedOn w:val="1"/>
    <w:next w:val="5"/>
    <w:qFormat/>
    <w:uiPriority w:val="0"/>
    <w:rPr>
      <w:rFonts w:ascii="Times New Roman" w:hAnsi="Times New Roman"/>
      <w:kern w:val="0"/>
      <w:sz w:val="28"/>
      <w:szCs w:val="24"/>
    </w:rPr>
  </w:style>
  <w:style w:type="paragraph" w:styleId="5">
    <w:name w:val="Body Text 2"/>
    <w:basedOn w:val="1"/>
    <w:next w:val="1"/>
    <w:unhideWhenUsed/>
    <w:qFormat/>
    <w:uiPriority w:val="99"/>
    <w:pPr>
      <w:spacing w:after="120" w:line="480" w:lineRule="auto"/>
    </w:pPr>
  </w:style>
  <w:style w:type="paragraph" w:styleId="6">
    <w:name w:val="Body Text Indent"/>
    <w:basedOn w:val="1"/>
    <w:next w:val="7"/>
    <w:qFormat/>
    <w:uiPriority w:val="0"/>
    <w:pPr>
      <w:ind w:firstLine="480"/>
    </w:pPr>
    <w:rPr>
      <w:rFonts w:ascii="Times New Roman" w:hAnsi="Times New Roman"/>
      <w:kern w:val="0"/>
      <w:sz w:val="24"/>
      <w:szCs w:val="20"/>
    </w:rPr>
  </w:style>
  <w:style w:type="paragraph" w:styleId="7">
    <w:name w:val="envelope return"/>
    <w:basedOn w:val="1"/>
    <w:qFormat/>
    <w:uiPriority w:val="0"/>
    <w:pPr>
      <w:snapToGrid w:val="0"/>
    </w:pPr>
    <w:rPr>
      <w:rFonts w:ascii="Arial" w:hAnsi="Arial"/>
    </w:rPr>
  </w:style>
  <w:style w:type="paragraph" w:styleId="8">
    <w:name w:val="Balloon Text"/>
    <w:basedOn w:val="1"/>
    <w:link w:val="20"/>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12">
    <w:name w:val="Body Text First Indent 2"/>
    <w:basedOn w:val="6"/>
    <w:next w:val="11"/>
    <w:qFormat/>
    <w:uiPriority w:val="99"/>
    <w:pPr>
      <w:ind w:firstLine="420" w:firstLineChars="200"/>
    </w:pPr>
    <w:rPr>
      <w:color w:val="000000"/>
    </w:rPr>
  </w:style>
  <w:style w:type="character" w:customStyle="1" w:styleId="15">
    <w:name w:val="NormalCharacter"/>
    <w:qFormat/>
    <w:uiPriority w:val="0"/>
    <w:rPr>
      <w:rFonts w:ascii="Times New Roman" w:hAnsi="Times New Roman" w:eastAsia="宋体" w:cs="Times New Roman"/>
    </w:rPr>
  </w:style>
  <w:style w:type="character" w:customStyle="1" w:styleId="16">
    <w:name w:val="目录4 Char"/>
    <w:uiPriority w:val="0"/>
    <w:rPr>
      <w:rFonts w:ascii="黑体" w:eastAsia="黑体"/>
      <w:kern w:val="2"/>
      <w:sz w:val="24"/>
      <w:szCs w:val="24"/>
      <w:lang w:val="en-US" w:eastAsia="zh-CN" w:bidi="ar-SA"/>
    </w:rPr>
  </w:style>
  <w:style w:type="character" w:customStyle="1" w:styleId="17">
    <w:name w:val="目录4 Char Char"/>
    <w:qFormat/>
    <w:uiPriority w:val="0"/>
    <w:rPr>
      <w:rFonts w:ascii="黑体" w:eastAsia="黑体"/>
      <w:kern w:val="2"/>
      <w:sz w:val="24"/>
      <w:szCs w:val="24"/>
      <w:lang w:val="en-US" w:eastAsia="zh-CN" w:bidi="ar-SA"/>
    </w:rPr>
  </w:style>
  <w:style w:type="character" w:customStyle="1" w:styleId="18">
    <w:name w:val="页眉 Char"/>
    <w:basedOn w:val="14"/>
    <w:link w:val="10"/>
    <w:qFormat/>
    <w:uiPriority w:val="0"/>
    <w:rPr>
      <w:rFonts w:ascii="等线" w:hAnsi="等线" w:eastAsia="宋体" w:cs="Times New Roman"/>
      <w:kern w:val="2"/>
      <w:sz w:val="18"/>
      <w:szCs w:val="18"/>
    </w:rPr>
  </w:style>
  <w:style w:type="character" w:customStyle="1" w:styleId="19">
    <w:name w:val="页脚 Char"/>
    <w:basedOn w:val="14"/>
    <w:link w:val="9"/>
    <w:uiPriority w:val="0"/>
    <w:rPr>
      <w:rFonts w:ascii="等线" w:hAnsi="等线" w:eastAsia="宋体" w:cs="Times New Roman"/>
      <w:kern w:val="2"/>
      <w:sz w:val="18"/>
      <w:szCs w:val="18"/>
    </w:rPr>
  </w:style>
  <w:style w:type="character" w:customStyle="1" w:styleId="20">
    <w:name w:val="批注框文本 Char"/>
    <w:basedOn w:val="14"/>
    <w:link w:val="8"/>
    <w:uiPriority w:val="0"/>
    <w:rPr>
      <w:rFonts w:ascii="等线" w:hAnsi="等线"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4587</Words>
  <Characters>5007</Characters>
  <Lines>37</Lines>
  <Paragraphs>10</Paragraphs>
  <TotalTime>4</TotalTime>
  <ScaleCrop>false</ScaleCrop>
  <LinksUpToDate>false</LinksUpToDate>
  <CharactersWithSpaces>5086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2022-12-30T03:14:00Z</dcterms:created>
  <dc:creator>ZKJW</dc:creator>
  <cp:lastModifiedBy>丁燕</cp:lastModifiedBy>
  <cp:lastPrinted>2022-12-30T03:28:00Z</cp:lastPrinted>
  <dcterms:modified xsi:type="dcterms:W3CDTF">2022-12-31T01:52:29Z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4BB2AA2196864EB89D17E206EA4EA88D</vt:lpwstr>
  </property>
</Properties>
</file>